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514"/>
        <w:gridCol w:w="4514"/>
      </w:tblGrid>
      <w:tr>
        <w:tc>
          <w:tcPr>
            <w:tcW w:type="dxa" w:w="4608"/>
          </w:tcPr>
          <w:p>
            <w:pPr>
              <w:spacing w:after="40"/>
              <w:jc w:val="center"/>
            </w:pPr>
            <w:r>
              <w:rPr>
                <w:b/>
                <w:color w:val="0F172A"/>
                <w:sz w:val="20"/>
              </w:rPr>
              <w:t>BTF SOFT ENTERPRISE</w:t>
              <w:br/>
              <w:t>BỘ PHẬN CÔNG NGHỆ THÔNG TIN</w:t>
            </w:r>
          </w:p>
          <w:p>
            <w:pPr>
              <w:jc w:val="center"/>
            </w:pPr>
            <w:r>
              <w:rPr>
                <w:color w:val="64748B"/>
                <w:sz w:val="19"/>
              </w:rPr>
              <w:t>Số hiệu: TB-IT/2026/09-01</w:t>
            </w:r>
          </w:p>
        </w:tc>
        <w:tc>
          <w:tcPr>
            <w:tcW w:type="dxa" w:w="4464"/>
          </w:tcPr>
          <w:p>
            <w:pPr>
              <w:spacing w:after="40"/>
              <w:jc w:val="center"/>
            </w:pPr>
            <w:r>
              <w:rPr>
                <w:b/>
                <w:color w:val="0F172A"/>
                <w:sz w:val="20"/>
              </w:rPr>
              <w:t>CỘNG HÒA XÃ HỘI CHỦ NGHĨA VIỆT NAM</w:t>
              <w:br/>
              <w:t>Độc lập – Tự do – Hạnh phúc</w:t>
            </w:r>
          </w:p>
          <w:p>
            <w:pPr>
              <w:jc w:val="center"/>
            </w:pPr>
            <w:r>
              <w:rPr>
                <w:i/>
                <w:color w:val="475569"/>
                <w:sz w:val="19"/>
              </w:rPr>
              <w:t>Hà Nội, ngày 09 tháng 09 năm 2026</w:t>
            </w:r>
          </w:p>
        </w:tc>
      </w:tr>
    </w:tbl>
    <w:p>
      <w:pPr>
        <w:spacing w:after="200"/>
      </w:pPr>
    </w:p>
    <w:p>
      <w:pPr>
        <w:spacing w:after="80"/>
        <w:jc w:val="center"/>
      </w:pPr>
      <w:r>
        <w:rPr>
          <w:b/>
          <w:color w:val="1D4ED8"/>
          <w:sz w:val="32"/>
        </w:rPr>
        <w:t>THÔNG BÁO</w:t>
      </w:r>
    </w:p>
    <w:p>
      <w:pPr>
        <w:spacing w:after="320"/>
        <w:jc w:val="center"/>
      </w:pPr>
      <w:r>
        <w:rPr>
          <w:b/>
          <w:color w:val="0F172A"/>
          <w:sz w:val="26"/>
        </w:rPr>
        <w:t>V/v Phát hành và Nâng cấp Hệ thống Fulfillment Phiên bản 2.0.0</w:t>
      </w:r>
    </w:p>
    <w:p>
      <w:pPr>
        <w:spacing w:after="160"/>
      </w:pPr>
      <w:r>
        <w:rPr>
          <w:b/>
          <w:color w:val="0F172A"/>
          <w:sz w:val="22"/>
        </w:rPr>
        <w:t xml:space="preserve">Kính gửi: </w:t>
      </w:r>
      <w:r>
        <w:t>Toàn thể cán bộ, nhân viên các Phòng/Ban trực thuộc Công ty,</w:t>
      </w:r>
    </w:p>
    <w:p>
      <w:pPr>
        <w:spacing w:after="240" w:line="288" w:lineRule="auto"/>
      </w:pPr>
      <w:r>
        <w:t>Nhằm tối ưu hóa quy trình vận hành và nâng cao hiệu quả xử lý đơn hàng, bộ phận IT xin trân trọng thông báo về việc phát hành và nâng cấp Hệ thống Fulfillment Phiên bản 2.0.0.</w:t>
      </w:r>
    </w:p>
    <w:p>
      <w:pPr>
        <w:spacing w:after="160"/>
      </w:pPr>
      <w:r>
        <w:rPr>
          <w:b/>
        </w:rPr>
        <w:t>Thông tin chi tiết về đợt phát hành như sau:</w:t>
      </w:r>
    </w:p>
    <w:p>
      <w:pPr>
        <w:spacing w:before="160" w:after="120"/>
      </w:pPr>
      <w:r>
        <w:rPr>
          <w:b/>
          <w:color w:val="1D4ED8"/>
          <w:sz w:val="24"/>
        </w:rPr>
        <w:t>1. Thông tin phát hành</w:t>
      </w:r>
    </w:p>
    <w:tbl>
      <w:tblPr>
        <w:tblW w:type="auto" w:w="0"/>
        <w:jc w:val="center"/>
        <w:tblLayout w:type="fixed"/>
        <w:tblLook w:firstColumn="1" w:firstRow="1" w:lastColumn="0" w:lastRow="0" w:noHBand="0" w:noVBand="1" w:val="04A0"/>
        <w:tblBorders>
          <w:top w:val="single" w:sz="6" w:space="0" w:color="CBD5E1"/>
          <w:bottom w:val="single" w:sz="6" w:space="0" w:color="CBD5E1"/>
          <w:insideH w:val="single" w:sz="4" w:space="0" w:color="CBD5E1"/>
          <w:insideV w:val="none"/>
          <w:left w:val="none"/>
          <w:right w:val="none"/>
        </w:tblBorders>
      </w:tblPr>
      <w:tblGrid>
        <w:gridCol w:w="4514"/>
        <w:gridCol w:w="4514"/>
      </w:tblGrid>
      <w:tr>
        <w:tc>
          <w:tcPr>
            <w:tcW w:type="dxa" w:w="3312"/>
            <w:tcMar>
              <w:top w:w="120" w:type="dxa"/>
              <w:bottom w:w="120" w:type="dxa"/>
              <w:left w:w="180" w:type="dxa"/>
              <w:right w:w="180" w:type="dxa"/>
            </w:tcMar>
            <w:shd w:fill="F8FAFC"/>
          </w:tcPr>
          <w:p>
            <w:r>
              <w:rPr>
                <w:b/>
                <w:sz w:val="20"/>
              </w:rPr>
              <w:t>Tên hệ thống</w:t>
            </w:r>
          </w:p>
        </w:tc>
        <w:tc>
          <w:tcPr>
            <w:tcW w:type="dxa" w:w="5760"/>
            <w:tcMar>
              <w:top w:w="120" w:type="dxa"/>
              <w:bottom w:w="120" w:type="dxa"/>
              <w:left w:w="180" w:type="dxa"/>
              <w:right w:w="180" w:type="dxa"/>
            </w:tcMar>
          </w:tcPr>
          <w:p>
            <w:r>
              <w:rPr>
                <w:sz w:val="21"/>
              </w:rPr>
              <w:t>Hệ thống Fulfillment (BTF Fulfillment Hub)</w:t>
            </w:r>
          </w:p>
        </w:tc>
      </w:tr>
      <w:tr>
        <w:tc>
          <w:tcPr>
            <w:tcW w:type="dxa" w:w="3312"/>
            <w:tcMar>
              <w:top w:w="120" w:type="dxa"/>
              <w:bottom w:w="120" w:type="dxa"/>
              <w:left w:w="180" w:type="dxa"/>
              <w:right w:w="180" w:type="dxa"/>
            </w:tcMar>
            <w:shd w:fill="F8FAFC"/>
          </w:tcPr>
          <w:p>
            <w:r>
              <w:rPr>
                <w:b/>
                <w:sz w:val="20"/>
              </w:rPr>
              <w:t>Phiên bản</w:t>
            </w:r>
          </w:p>
        </w:tc>
        <w:tc>
          <w:tcPr>
            <w:tcW w:type="dxa" w:w="5760"/>
            <w:tcMar>
              <w:top w:w="120" w:type="dxa"/>
              <w:bottom w:w="120" w:type="dxa"/>
              <w:left w:w="180" w:type="dxa"/>
              <w:right w:w="180" w:type="dxa"/>
            </w:tcMar>
          </w:tcPr>
          <w:p>
            <w:r>
              <w:rPr>
                <w:b/>
                <w:color w:val="1D4ED8"/>
                <w:sz w:val="21"/>
              </w:rPr>
              <w:t>2.0.0 (Enterprise Stable)</w:t>
            </w:r>
          </w:p>
        </w:tc>
      </w:tr>
      <w:tr>
        <w:tc>
          <w:tcPr>
            <w:tcW w:type="dxa" w:w="3312"/>
            <w:tcMar>
              <w:top w:w="120" w:type="dxa"/>
              <w:bottom w:w="120" w:type="dxa"/>
              <w:left w:w="180" w:type="dxa"/>
              <w:right w:w="180" w:type="dxa"/>
            </w:tcMar>
            <w:shd w:fill="F8FAFC"/>
          </w:tcPr>
          <w:p>
            <w:r>
              <w:rPr>
                <w:b/>
                <w:sz w:val="20"/>
              </w:rPr>
              <w:t>Thời gian chính thức áp dụng</w:t>
            </w:r>
          </w:p>
        </w:tc>
        <w:tc>
          <w:tcPr>
            <w:tcW w:type="dxa" w:w="5760"/>
            <w:tcMar>
              <w:top w:w="120" w:type="dxa"/>
              <w:bottom w:w="120" w:type="dxa"/>
              <w:left w:w="180" w:type="dxa"/>
              <w:right w:w="180" w:type="dxa"/>
            </w:tcMar>
          </w:tcPr>
          <w:p>
            <w:r>
              <w:rPr>
                <w:b/>
                <w:color w:val="1D4ED8"/>
                <w:sz w:val="21"/>
              </w:rPr>
              <w:t>Ngày 10/09/2026</w:t>
            </w:r>
          </w:p>
        </w:tc>
      </w:tr>
      <w:tr>
        <w:tc>
          <w:tcPr>
            <w:tcW w:type="dxa" w:w="3312"/>
            <w:tcMar>
              <w:top w:w="120" w:type="dxa"/>
              <w:bottom w:w="120" w:type="dxa"/>
              <w:left w:w="180" w:type="dxa"/>
              <w:right w:w="180" w:type="dxa"/>
            </w:tcMar>
            <w:shd w:fill="F8FAFC"/>
          </w:tcPr>
          <w:p>
            <w:r>
              <w:rPr>
                <w:b/>
                <w:sz w:val="20"/>
              </w:rPr>
              <w:t>Đối tượng áp dụng</w:t>
            </w:r>
          </w:p>
        </w:tc>
        <w:tc>
          <w:tcPr>
            <w:tcW w:type="dxa" w:w="5760"/>
            <w:tcMar>
              <w:top w:w="120" w:type="dxa"/>
              <w:bottom w:w="120" w:type="dxa"/>
              <w:left w:w="180" w:type="dxa"/>
              <w:right w:w="180" w:type="dxa"/>
            </w:tcMar>
          </w:tcPr>
          <w:p>
            <w:r>
              <w:rPr>
                <w:sz w:val="21"/>
              </w:rPr>
              <w:t>Toàn thể các phòng ban có liên quan</w:t>
            </w:r>
          </w:p>
        </w:tc>
      </w:tr>
    </w:tbl>
    <w:p>
      <w:pPr>
        <w:spacing w:after="160"/>
      </w:pPr>
    </w:p>
    <w:p>
      <w:pPr>
        <w:spacing w:before="160" w:after="120"/>
      </w:pPr>
      <w:r>
        <w:rPr>
          <w:b/>
          <w:color w:val="1D4ED8"/>
          <w:sz w:val="24"/>
        </w:rPr>
        <w:t>2. Các điểm mới &amp; Cập nhật trong phiên bản 2.0.0</w:t>
      </w:r>
    </w:p>
    <w:p>
      <w:pPr>
        <w:spacing w:after="80"/>
      </w:pPr>
      <w:r>
        <w:rPr>
          <w:b/>
        </w:rPr>
        <w:t xml:space="preserve">• Kế thừa &amp; Giữ nguyên: </w:t>
      </w:r>
      <w:r>
        <w:t>Toàn bộ các tính năng hiện có của hệ thống cũ vẫn được giữ nguyên nhằm đảm bảo quy trình làm việc quen thuộc của nhân sự, không gây xáo trộn thao tác hàng ngày.</w:t>
      </w:r>
    </w:p>
    <w:p>
      <w:pPr>
        <w:spacing w:after="60"/>
      </w:pPr>
      <w:r>
        <w:rPr>
          <w:b/>
          <w:color w:val="0F172A"/>
        </w:rPr>
        <w:t>• Tính năng mới – Hàng Đợi Lỗi SKU (SKU Error Queue):</w:t>
      </w:r>
    </w:p>
    <w:p>
      <w:pPr>
        <w:spacing w:after="60"/>
        <w:ind w:left="360"/>
      </w:pPr>
      <w:r>
        <w:rPr>
          <w:b/>
        </w:rPr>
        <w:t xml:space="preserve">+ Cơ chế ghi nhận tự động: </w:t>
      </w:r>
      <w:r>
        <w:t>Hệ thống tự động ghi nhận và chuyển vào hàng đợi đối với các đơn hàng yêu cầu phôi sản phẩm nhưng kho chưa có sẵn phôi.</w:t>
      </w:r>
    </w:p>
    <w:p>
      <w:pPr>
        <w:spacing w:after="160"/>
        <w:ind w:left="360"/>
      </w:pPr>
      <w:r>
        <w:rPr>
          <w:b/>
        </w:rPr>
        <w:t xml:space="preserve">+ Kiểm soát tắc nghẽn: </w:t>
      </w:r>
      <w:r>
        <w:t>Tính năng này giúp dễ dàng theo dõi, phân loại và xử lý kịp thời các đơn hàng tắc nghẽn do thiếu nguyên liệu/phôi, giúp giải phóng áp lực dây chuyền hoàn tất.</w:t>
      </w:r>
    </w:p>
    <w:p>
      <w:pPr>
        <w:spacing w:before="160" w:after="120"/>
      </w:pPr>
      <w:r>
        <w:rPr>
          <w:b/>
          <w:color w:val="1D4ED8"/>
          <w:sz w:val="24"/>
        </w:rPr>
        <w:t>3. Hướng dẫn truy cập</w:t>
      </w:r>
    </w:p>
    <w:p>
      <w:pPr>
        <w:spacing w:after="80"/>
      </w:pPr>
      <w:r>
        <w:t>Anh/Chị vui lòng truy cập địa chỉ mới để vào Trung tâm điều hướng và sử dụng hệ thống:</w:t>
      </w:r>
    </w:p>
    <w:p>
      <w:pPr>
        <w:spacing w:after="200"/>
        <w:ind w:left="360"/>
      </w:pPr>
      <w:r>
        <w:rPr>
          <w:b/>
        </w:rPr>
        <w:t xml:space="preserve">👉 Địa chỉ Trung tâm Điều hướng: </w:t>
      </w:r>
      <w:r>
        <w:rPr>
          <w:b/>
          <w:color w:val="1D4ED8"/>
        </w:rPr>
        <w:t>https://btfsoft.net</w:t>
      </w:r>
      <w:r>
        <w:t xml:space="preserve"> (hoặc cổng trực tiếp: </w:t>
      </w:r>
      <w:r>
        <w:rPr>
          <w:color w:val="1D4ED8"/>
        </w:rPr>
        <w:t>https://fulfillment.btfsoft.net</w:t>
      </w:r>
      <w:r>
        <w:t>)</w:t>
      </w:r>
    </w:p>
    <w:p>
      <w:pPr>
        <w:spacing w:before="160" w:after="120"/>
      </w:pPr>
      <w:r>
        <w:rPr>
          <w:b/>
          <w:color w:val="1D4ED8"/>
          <w:sz w:val="24"/>
        </w:rPr>
        <w:t>4. Hỗ trợ kỹ thuật</w:t>
      </w:r>
    </w:p>
    <w:p>
      <w:pPr>
        <w:spacing w:after="80"/>
      </w:pPr>
      <w:r>
        <w:t>Trong quá trình thao tác và sử dụng, nếu phát sinh sự cố hoặc cần hỗ trợ, Anh/Chị vui lòng liên hệ:</w:t>
      </w:r>
    </w:p>
    <w:p>
      <w:pPr>
        <w:spacing w:after="60"/>
        <w:ind w:left="360"/>
      </w:pPr>
      <w:r>
        <w:rPr>
          <w:b/>
        </w:rPr>
        <w:t xml:space="preserve">• Kênh Telegram bộ phận IT: </w:t>
      </w:r>
      <w:r>
        <w:t>Tiếp nhận phản hồi và xử lý sự cố trực tuyến 24/7.</w:t>
      </w:r>
    </w:p>
    <w:p>
      <w:pPr>
        <w:spacing w:after="60"/>
        <w:ind w:left="360"/>
      </w:pPr>
      <w:r>
        <w:rPr>
          <w:b/>
        </w:rPr>
        <w:t xml:space="preserve">• Hoặc liên hệ trực tiếp: </w:t>
      </w:r>
      <w:r>
        <w:rPr>
          <w:b/>
          <w:color w:val="1D4ED8"/>
        </w:rPr>
        <w:t>Bùi Bảo Ngọc</w:t>
      </w:r>
      <w:r>
        <w:t xml:space="preserve"> (Phụ trách Kỹ thuật Hệ thống).</w:t>
      </w:r>
    </w:p>
    <w:p>
      <w:pPr>
        <w:spacing w:after="240"/>
        <w:ind w:left="360"/>
      </w:pPr>
      <w:r>
        <w:rPr>
          <w:b/>
        </w:rPr>
        <w:t xml:space="preserve">• Email kỹ thuật: </w:t>
      </w:r>
      <w:r>
        <w:t>support@btfsoft.net</w:t>
      </w:r>
    </w:p>
    <w:p>
      <w:pPr>
        <w:spacing w:after="400"/>
      </w:pPr>
      <w:r>
        <w:rPr>
          <w:i/>
        </w:rPr>
        <w:t>Rất mong nhận được sự hợp tác của Quý Anh/Chị để hệ thống vận hành mượt mà và hiệu quả nhất.</w:t>
      </w:r>
    </w:p>
    <w:tbl>
      <w:tblPr>
        <w:tblW w:type="auto" w:w="0"/>
        <w:jc w:val="center"/>
        <w:tblLayout w:type="fixed"/>
        <w:tblLook w:firstColumn="1" w:firstRow="1" w:lastColumn="0" w:lastRow="0" w:noHBand="0" w:noVBand="1" w:val="04A0"/>
      </w:tblPr>
      <w:tblGrid>
        <w:gridCol w:w="4514"/>
        <w:gridCol w:w="4514"/>
      </w:tblGrid>
      <w:tr>
        <w:tc>
          <w:tcPr>
            <w:tcW w:type="dxa" w:w="4608"/>
          </w:tcPr>
          <w:p>
            <w:pPr>
              <w:spacing w:after="40"/>
            </w:pPr>
            <w:r>
              <w:rPr>
                <w:b/>
                <w:i/>
                <w:sz w:val="19"/>
              </w:rPr>
              <w:t>Nơi nhận:</w:t>
              <w:br/>
            </w:r>
            <w:r>
              <w:rPr>
                <w:color w:val="475569"/>
                <w:sz w:val="18"/>
              </w:rPr>
              <w:t>- Như Kính gửi;</w:t>
              <w:br/>
              <w:t>- Ban Giám Đốc (để báo cáo);</w:t>
              <w:br/>
              <w:t>- Các Trưởng Bộ phận;</w:t>
              <w:br/>
              <w:t>- Lưu: VT, IT.</w:t>
            </w:r>
          </w:p>
        </w:tc>
        <w:tc>
          <w:tcPr>
            <w:tcW w:type="dxa" w:w="4464"/>
          </w:tcPr>
          <w:p>
            <w:pPr>
              <w:spacing w:after="40"/>
              <w:jc w:val="center"/>
            </w:pPr>
            <w:r>
              <w:rPr>
                <w:b/>
                <w:color w:val="0F172A"/>
                <w:sz w:val="21"/>
              </w:rPr>
              <w:t>BỘ PHẬN CÔNG NGHỆ THÔNG TIN</w:t>
              <w:br/>
            </w:r>
            <w:r>
              <w:rPr>
                <w:color w:val="64748B"/>
                <w:sz w:val="20"/>
              </w:rPr>
              <w:t>Phụ trách Kỹ thuật Hệ thống</w:t>
              <w:br/>
              <w:br/>
              <w:br/>
              <w:br/>
            </w:r>
            <w:r>
              <w:rPr>
                <w:b/>
                <w:color w:val="1D4ED8"/>
                <w:sz w:val="22"/>
              </w:rPr>
              <w:t>BÙI BẢO NGỌC</w:t>
            </w:r>
          </w:p>
        </w:tc>
      </w:tr>
    </w:tbl>
    <w:sectPr w:rsidR="00FC693F" w:rsidRPr="0006063C" w:rsidSect="00034616">
      <w:pgSz w:w="11909" w:h="16834"/>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